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CFFD0" w14:textId="7FCF0347" w:rsidR="0054231A" w:rsidRPr="004B473C" w:rsidRDefault="0054231A" w:rsidP="002E6783">
      <w:pPr>
        <w:spacing w:line="240" w:lineRule="auto"/>
        <w:jc w:val="center"/>
        <w:rPr>
          <w:rFonts w:ascii="Tahoma" w:eastAsia="Times New Roman" w:hAnsi="Tahoma" w:cs="Tahoma"/>
          <w:sz w:val="28"/>
          <w:szCs w:val="28"/>
          <w:lang w:val="pl-PL" w:eastAsia="pl-PL"/>
        </w:rPr>
      </w:pPr>
      <w:bookmarkStart w:id="0" w:name="_GoBack"/>
      <w:bookmarkEnd w:id="0"/>
      <w:r w:rsidRPr="004B473C">
        <w:rPr>
          <w:rFonts w:ascii="Tahoma" w:eastAsia="Times New Roman" w:hAnsi="Tahoma" w:cs="Tahoma"/>
          <w:sz w:val="28"/>
          <w:szCs w:val="28"/>
          <w:lang w:val="pl-PL" w:eastAsia="pl-PL"/>
        </w:rPr>
        <w:t xml:space="preserve">Ankieta dotycząca potencjalnych projektów w ramach Strategii Terytorialnej Partnerstwa </w:t>
      </w:r>
      <w:r w:rsidR="00122D6E">
        <w:rPr>
          <w:rFonts w:ascii="Tahoma" w:eastAsia="Times New Roman" w:hAnsi="Tahoma" w:cs="Tahoma"/>
          <w:sz w:val="28"/>
          <w:szCs w:val="28"/>
          <w:lang w:val="pl-PL" w:eastAsia="pl-PL"/>
        </w:rPr>
        <w:t>„</w:t>
      </w:r>
      <w:r w:rsidR="002E6783">
        <w:rPr>
          <w:rFonts w:ascii="Tahoma" w:eastAsia="Times New Roman" w:hAnsi="Tahoma" w:cs="Tahoma"/>
          <w:sz w:val="28"/>
          <w:szCs w:val="28"/>
          <w:lang w:val="pl-PL" w:eastAsia="pl-PL"/>
        </w:rPr>
        <w:t xml:space="preserve">Ziemia </w:t>
      </w:r>
      <w:r w:rsidR="00122D6E">
        <w:rPr>
          <w:rFonts w:ascii="Tahoma" w:eastAsia="Times New Roman" w:hAnsi="Tahoma" w:cs="Tahoma"/>
          <w:sz w:val="28"/>
          <w:szCs w:val="28"/>
          <w:lang w:val="pl-PL" w:eastAsia="pl-PL"/>
        </w:rPr>
        <w:t>w</w:t>
      </w:r>
      <w:r w:rsidR="002E6783">
        <w:rPr>
          <w:rFonts w:ascii="Tahoma" w:eastAsia="Times New Roman" w:hAnsi="Tahoma" w:cs="Tahoma"/>
          <w:sz w:val="28"/>
          <w:szCs w:val="28"/>
          <w:lang w:val="pl-PL" w:eastAsia="pl-PL"/>
        </w:rPr>
        <w:t>ysokomazowiecka</w:t>
      </w:r>
      <w:r w:rsidR="00122D6E">
        <w:rPr>
          <w:rFonts w:ascii="Tahoma" w:eastAsia="Times New Roman" w:hAnsi="Tahoma" w:cs="Tahoma"/>
          <w:sz w:val="28"/>
          <w:szCs w:val="28"/>
          <w:lang w:val="pl-PL" w:eastAsia="pl-PL"/>
        </w:rPr>
        <w:t>”</w:t>
      </w:r>
    </w:p>
    <w:p w14:paraId="5A1CFFD1" w14:textId="77777777" w:rsidR="00C076B2" w:rsidRDefault="00C076B2" w:rsidP="00C076B2">
      <w:pPr>
        <w:spacing w:line="240" w:lineRule="auto"/>
        <w:rPr>
          <w:rFonts w:ascii="Tahoma" w:hAnsi="Tahoma" w:cs="Tahoma"/>
          <w:sz w:val="24"/>
          <w:szCs w:val="24"/>
          <w:lang w:val="pl-PL"/>
        </w:rPr>
      </w:pPr>
      <w:r w:rsidRPr="00D010C5">
        <w:rPr>
          <w:rFonts w:ascii="Tahoma" w:hAnsi="Tahoma" w:cs="Tahoma"/>
          <w:sz w:val="24"/>
          <w:szCs w:val="24"/>
          <w:lang w:val="pl-PL"/>
        </w:rPr>
        <w:t>Prosimy o wpisanie propozycji projektów realizujących poszczególne kierunki działania w ramach Strategii Terytorialnej</w:t>
      </w:r>
      <w:r w:rsidR="00D010C5">
        <w:rPr>
          <w:rFonts w:ascii="Tahoma" w:hAnsi="Tahoma" w:cs="Tahoma"/>
          <w:sz w:val="24"/>
          <w:szCs w:val="24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6"/>
        <w:gridCol w:w="3055"/>
        <w:gridCol w:w="4491"/>
      </w:tblGrid>
      <w:tr w:rsidR="002E6783" w:rsidRPr="005954DB" w14:paraId="5A1CFFD5" w14:textId="77777777" w:rsidTr="00535163">
        <w:tc>
          <w:tcPr>
            <w:tcW w:w="1524" w:type="dxa"/>
            <w:shd w:val="clear" w:color="auto" w:fill="E5B8B7" w:themeFill="accent2" w:themeFillTint="66"/>
            <w:vAlign w:val="center"/>
          </w:tcPr>
          <w:p w14:paraId="5A1CFFD2" w14:textId="77777777" w:rsidR="002E6783" w:rsidRPr="005954DB" w:rsidRDefault="002E6783" w:rsidP="0053516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954DB">
              <w:rPr>
                <w:b/>
                <w:sz w:val="24"/>
                <w:szCs w:val="24"/>
              </w:rPr>
              <w:t>Obszar</w:t>
            </w:r>
            <w:proofErr w:type="spellEnd"/>
            <w:r w:rsidRPr="00595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54DB">
              <w:rPr>
                <w:b/>
                <w:sz w:val="24"/>
                <w:szCs w:val="24"/>
              </w:rPr>
              <w:t>tematyczny</w:t>
            </w:r>
            <w:proofErr w:type="spellEnd"/>
          </w:p>
        </w:tc>
        <w:tc>
          <w:tcPr>
            <w:tcW w:w="3110" w:type="dxa"/>
            <w:shd w:val="clear" w:color="auto" w:fill="E5B8B7" w:themeFill="accent2" w:themeFillTint="66"/>
            <w:vAlign w:val="center"/>
          </w:tcPr>
          <w:p w14:paraId="5A1CFFD3" w14:textId="77777777" w:rsidR="002E6783" w:rsidRPr="005954DB" w:rsidRDefault="002E6783" w:rsidP="0053516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954DB">
              <w:rPr>
                <w:b/>
                <w:sz w:val="24"/>
                <w:szCs w:val="24"/>
              </w:rPr>
              <w:t>Kierunki</w:t>
            </w:r>
            <w:proofErr w:type="spellEnd"/>
            <w:r w:rsidRPr="00595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54DB">
              <w:rPr>
                <w:b/>
                <w:sz w:val="24"/>
                <w:szCs w:val="24"/>
              </w:rPr>
              <w:t>działania</w:t>
            </w:r>
            <w:proofErr w:type="spellEnd"/>
          </w:p>
        </w:tc>
        <w:tc>
          <w:tcPr>
            <w:tcW w:w="4654" w:type="dxa"/>
            <w:shd w:val="clear" w:color="auto" w:fill="E5B8B7" w:themeFill="accent2" w:themeFillTint="66"/>
            <w:vAlign w:val="center"/>
          </w:tcPr>
          <w:p w14:paraId="5A1CFFD4" w14:textId="77777777" w:rsidR="002E6783" w:rsidRPr="005954DB" w:rsidRDefault="002E6783" w:rsidP="0053516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954DB">
              <w:rPr>
                <w:b/>
                <w:sz w:val="24"/>
                <w:szCs w:val="24"/>
              </w:rPr>
              <w:t>Proponowane</w:t>
            </w:r>
            <w:proofErr w:type="spellEnd"/>
            <w:r w:rsidRPr="00595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54DB">
              <w:rPr>
                <w:b/>
                <w:sz w:val="24"/>
                <w:szCs w:val="24"/>
              </w:rPr>
              <w:t>projekty</w:t>
            </w:r>
            <w:proofErr w:type="spellEnd"/>
          </w:p>
        </w:tc>
      </w:tr>
      <w:tr w:rsidR="002E6783" w:rsidRPr="00D53067" w14:paraId="5A1CFFDA" w14:textId="77777777" w:rsidTr="00535163">
        <w:trPr>
          <w:trHeight w:val="547"/>
        </w:trPr>
        <w:tc>
          <w:tcPr>
            <w:tcW w:w="1524" w:type="dxa"/>
            <w:vMerge w:val="restart"/>
            <w:shd w:val="clear" w:color="auto" w:fill="F2DBDB" w:themeFill="accent2" w:themeFillTint="33"/>
          </w:tcPr>
          <w:p w14:paraId="5A1CFFD6" w14:textId="77777777" w:rsidR="002E6783" w:rsidRDefault="002E6783" w:rsidP="00535163">
            <w:pPr>
              <w:rPr>
                <w:b/>
                <w:lang w:val="pl-PL"/>
              </w:rPr>
            </w:pPr>
          </w:p>
          <w:p w14:paraId="5A1CFFD7" w14:textId="77777777" w:rsidR="002E6783" w:rsidRPr="00B04A65" w:rsidRDefault="002E6783" w:rsidP="0053516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Gospodarka</w:t>
            </w:r>
          </w:p>
        </w:tc>
        <w:tc>
          <w:tcPr>
            <w:tcW w:w="3110" w:type="dxa"/>
          </w:tcPr>
          <w:p w14:paraId="5A1CFFD8" w14:textId="77777777" w:rsidR="002E6783" w:rsidRPr="00FB62BA" w:rsidRDefault="002E6783" w:rsidP="00535163">
            <w:pPr>
              <w:rPr>
                <w:lang w:val="pl-PL"/>
              </w:rPr>
            </w:pPr>
            <w:r w:rsidRPr="00327417">
              <w:rPr>
                <w:b/>
                <w:lang w:val="pl-PL"/>
              </w:rPr>
              <w:t xml:space="preserve">Innowacje w rolnictwie i branżach okołorolniczych </w:t>
            </w:r>
            <w:r w:rsidRPr="00327417">
              <w:rPr>
                <w:lang w:val="pl-PL"/>
              </w:rPr>
              <w:t>- utrzymanie warunków dla rozwoju rolnictwa i sprzyjanie jego transformacji w kierunku rolnictwa odpornego na zmiany klimatyczne, ekologicznego i opartego na nowoczesnych technologiach, inspirującego do zakładania działalności w branżach okołorolniczych. Intensyfikacja współpracy z branżowymi jednostkami naukowymi i rozwój lokalnych marek.</w:t>
            </w:r>
            <w:r w:rsidRPr="00327417">
              <w:rPr>
                <w:b/>
                <w:lang w:val="pl-PL"/>
              </w:rPr>
              <w:t xml:space="preserve"> </w:t>
            </w:r>
          </w:p>
        </w:tc>
        <w:tc>
          <w:tcPr>
            <w:tcW w:w="4654" w:type="dxa"/>
          </w:tcPr>
          <w:p w14:paraId="5A1CFFD9" w14:textId="77777777" w:rsidR="002E6783" w:rsidRPr="00FB62BA" w:rsidRDefault="002E6783" w:rsidP="00535163">
            <w:pPr>
              <w:rPr>
                <w:lang w:val="pl-PL"/>
              </w:rPr>
            </w:pPr>
          </w:p>
        </w:tc>
      </w:tr>
      <w:tr w:rsidR="002E6783" w:rsidRPr="00D53067" w14:paraId="5A1CFFDE" w14:textId="77777777" w:rsidTr="00535163">
        <w:tc>
          <w:tcPr>
            <w:tcW w:w="1524" w:type="dxa"/>
            <w:vMerge/>
            <w:shd w:val="clear" w:color="auto" w:fill="F2DBDB" w:themeFill="accent2" w:themeFillTint="33"/>
          </w:tcPr>
          <w:p w14:paraId="5A1CFFDB" w14:textId="77777777" w:rsidR="002E6783" w:rsidRPr="00FB62BA" w:rsidRDefault="002E6783" w:rsidP="00535163">
            <w:pPr>
              <w:rPr>
                <w:b/>
                <w:lang w:val="pl-PL"/>
              </w:rPr>
            </w:pPr>
          </w:p>
        </w:tc>
        <w:tc>
          <w:tcPr>
            <w:tcW w:w="3110" w:type="dxa"/>
          </w:tcPr>
          <w:p w14:paraId="5A1CFFDC" w14:textId="77777777" w:rsidR="002E6783" w:rsidRPr="002D1806" w:rsidRDefault="002E6783" w:rsidP="00535163">
            <w:pPr>
              <w:rPr>
                <w:lang w:val="pl-PL"/>
              </w:rPr>
            </w:pPr>
            <w:r w:rsidRPr="00327417">
              <w:rPr>
                <w:b/>
                <w:lang w:val="pl-PL"/>
              </w:rPr>
              <w:t xml:space="preserve">Wsparcie tworzenia i rozwoju lokalnych przedsiębiorstw </w:t>
            </w:r>
          </w:p>
        </w:tc>
        <w:tc>
          <w:tcPr>
            <w:tcW w:w="4654" w:type="dxa"/>
          </w:tcPr>
          <w:p w14:paraId="5A1CFFDD" w14:textId="77777777" w:rsidR="002E6783" w:rsidRPr="002D1806" w:rsidRDefault="002E6783" w:rsidP="00535163">
            <w:pPr>
              <w:rPr>
                <w:lang w:val="pl-PL"/>
              </w:rPr>
            </w:pPr>
            <w:r w:rsidRPr="004D51A2">
              <w:rPr>
                <w:lang w:val="pl-PL"/>
              </w:rPr>
              <w:t xml:space="preserve"> </w:t>
            </w:r>
          </w:p>
        </w:tc>
      </w:tr>
      <w:tr w:rsidR="002E6783" w:rsidRPr="00D53067" w14:paraId="5A1CFFE2" w14:textId="77777777" w:rsidTr="00535163">
        <w:tc>
          <w:tcPr>
            <w:tcW w:w="1524" w:type="dxa"/>
            <w:vMerge/>
            <w:shd w:val="clear" w:color="auto" w:fill="F2DBDB" w:themeFill="accent2" w:themeFillTint="33"/>
          </w:tcPr>
          <w:p w14:paraId="5A1CFFDF" w14:textId="77777777" w:rsidR="002E6783" w:rsidRPr="00FB62BA" w:rsidRDefault="002E6783" w:rsidP="00535163">
            <w:pPr>
              <w:rPr>
                <w:b/>
                <w:lang w:val="pl-PL"/>
              </w:rPr>
            </w:pPr>
          </w:p>
        </w:tc>
        <w:tc>
          <w:tcPr>
            <w:tcW w:w="3110" w:type="dxa"/>
          </w:tcPr>
          <w:p w14:paraId="5A1CFFE0" w14:textId="77777777" w:rsidR="002E6783" w:rsidRPr="00327417" w:rsidRDefault="002E6783" w:rsidP="00535163">
            <w:pPr>
              <w:rPr>
                <w:b/>
                <w:lang w:val="pl-PL"/>
              </w:rPr>
            </w:pPr>
            <w:r w:rsidRPr="00FB62BA">
              <w:rPr>
                <w:rStyle w:val="normaltextrun"/>
                <w:b/>
                <w:iCs/>
                <w:szCs w:val="24"/>
                <w:shd w:val="clear" w:color="auto" w:fill="FFFFFF"/>
                <w:lang w:val="pl-PL"/>
              </w:rPr>
              <w:t>Poszerzenie oferty edukacyjnej dla dzieci i młodzieży</w:t>
            </w:r>
            <w:r w:rsidRPr="00FB62BA">
              <w:rPr>
                <w:rStyle w:val="normaltextrun"/>
                <w:iCs/>
                <w:szCs w:val="24"/>
                <w:shd w:val="clear" w:color="auto" w:fill="FFFFFF"/>
                <w:lang w:val="pl-PL"/>
              </w:rPr>
              <w:t xml:space="preserve"> </w:t>
            </w:r>
            <w:r w:rsidRPr="00C26723">
              <w:rPr>
                <w:rStyle w:val="normaltextrun"/>
                <w:iCs/>
                <w:szCs w:val="24"/>
                <w:shd w:val="clear" w:color="auto" w:fill="FFFFFF"/>
                <w:lang w:val="pl-PL"/>
              </w:rPr>
              <w:t>– w kierunku innowacyjności, współpracy (umiejętność pracy zespołowej), przedsiębiorczości (m.in. podejście projektowe)</w:t>
            </w:r>
            <w:r>
              <w:rPr>
                <w:rStyle w:val="normaltextrun"/>
                <w:iCs/>
                <w:szCs w:val="24"/>
                <w:shd w:val="clear" w:color="auto" w:fill="FFFFFF"/>
                <w:lang w:val="pl-PL"/>
              </w:rPr>
              <w:t xml:space="preserve"> -</w:t>
            </w:r>
            <w:r w:rsidRPr="00C26723">
              <w:rPr>
                <w:rStyle w:val="normaltextrun"/>
                <w:iCs/>
                <w:szCs w:val="24"/>
                <w:shd w:val="clear" w:color="auto" w:fill="FFFFFF"/>
                <w:lang w:val="pl-PL"/>
              </w:rPr>
              <w:t xml:space="preserve"> w tym zwłaszcza w rolnictwie i przemyśle spożywczym, ochrony środowiska i klimatu </w:t>
            </w:r>
          </w:p>
        </w:tc>
        <w:tc>
          <w:tcPr>
            <w:tcW w:w="4654" w:type="dxa"/>
          </w:tcPr>
          <w:p w14:paraId="5A1CFFE1" w14:textId="77777777" w:rsidR="002E6783" w:rsidRPr="0023471F" w:rsidRDefault="002E6783" w:rsidP="00535163">
            <w:pPr>
              <w:rPr>
                <w:lang w:val="pl-PL"/>
              </w:rPr>
            </w:pPr>
            <w:r w:rsidRPr="0023471F">
              <w:rPr>
                <w:rStyle w:val="eop"/>
                <w:rFonts w:ascii="Calibri" w:hAnsi="Calibri"/>
                <w:shd w:val="clear" w:color="auto" w:fill="FFFFFF"/>
                <w:lang w:val="pl-PL"/>
              </w:rPr>
              <w:t> </w:t>
            </w:r>
          </w:p>
        </w:tc>
      </w:tr>
      <w:tr w:rsidR="002E6783" w:rsidRPr="00D53067" w14:paraId="5A1CFFE6" w14:textId="77777777" w:rsidTr="00535163">
        <w:tc>
          <w:tcPr>
            <w:tcW w:w="1524" w:type="dxa"/>
            <w:vMerge/>
            <w:shd w:val="clear" w:color="auto" w:fill="F2DBDB" w:themeFill="accent2" w:themeFillTint="33"/>
          </w:tcPr>
          <w:p w14:paraId="5A1CFFE3" w14:textId="77777777" w:rsidR="002E6783" w:rsidRPr="00FB62BA" w:rsidRDefault="002E6783" w:rsidP="00535163">
            <w:pPr>
              <w:rPr>
                <w:b/>
                <w:lang w:val="pl-PL"/>
              </w:rPr>
            </w:pPr>
          </w:p>
        </w:tc>
        <w:tc>
          <w:tcPr>
            <w:tcW w:w="3110" w:type="dxa"/>
          </w:tcPr>
          <w:p w14:paraId="5A1CFFE4" w14:textId="77777777" w:rsidR="002E6783" w:rsidRPr="00CF0B97" w:rsidRDefault="002E6783" w:rsidP="00535163">
            <w:pPr>
              <w:rPr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Turystyka </w:t>
            </w:r>
            <w:r>
              <w:rPr>
                <w:bCs/>
                <w:lang w:val="pl-PL"/>
              </w:rPr>
              <w:t xml:space="preserve">– jako „okno wystawowe” obszaru, przyciągające potencjalnych mieszkańców i inwestorów oraz uzupełniające źródło dochodów </w:t>
            </w:r>
          </w:p>
        </w:tc>
        <w:tc>
          <w:tcPr>
            <w:tcW w:w="4654" w:type="dxa"/>
          </w:tcPr>
          <w:p w14:paraId="5A1CFFE5" w14:textId="77777777" w:rsidR="002E6783" w:rsidRPr="002D1806" w:rsidRDefault="002E6783" w:rsidP="00535163">
            <w:pPr>
              <w:rPr>
                <w:lang w:val="pl-PL"/>
              </w:rPr>
            </w:pPr>
          </w:p>
        </w:tc>
      </w:tr>
      <w:tr w:rsidR="002E6783" w:rsidRPr="00D53067" w14:paraId="5A1CFFEA" w14:textId="77777777" w:rsidTr="00535163">
        <w:tc>
          <w:tcPr>
            <w:tcW w:w="1524" w:type="dxa"/>
            <w:vMerge/>
            <w:shd w:val="clear" w:color="auto" w:fill="F2DBDB" w:themeFill="accent2" w:themeFillTint="33"/>
          </w:tcPr>
          <w:p w14:paraId="5A1CFFE7" w14:textId="77777777" w:rsidR="002E6783" w:rsidRPr="00FB62BA" w:rsidRDefault="002E6783" w:rsidP="00535163">
            <w:pPr>
              <w:rPr>
                <w:b/>
                <w:lang w:val="pl-PL"/>
              </w:rPr>
            </w:pPr>
          </w:p>
        </w:tc>
        <w:tc>
          <w:tcPr>
            <w:tcW w:w="3110" w:type="dxa"/>
          </w:tcPr>
          <w:p w14:paraId="5A1CFFE8" w14:textId="77777777" w:rsidR="002E6783" w:rsidRPr="00327417" w:rsidRDefault="002E6783" w:rsidP="00535163">
            <w:pPr>
              <w:rPr>
                <w:b/>
                <w:lang w:val="pl-PL"/>
              </w:rPr>
            </w:pPr>
            <w:r w:rsidRPr="00327417">
              <w:rPr>
                <w:b/>
                <w:lang w:val="pl-PL"/>
              </w:rPr>
              <w:t xml:space="preserve">Cyfryzacja </w:t>
            </w:r>
            <w:r>
              <w:rPr>
                <w:b/>
                <w:lang w:val="pl-PL"/>
              </w:rPr>
              <w:t xml:space="preserve">obszaru </w:t>
            </w:r>
            <w:r w:rsidRPr="00327417">
              <w:rPr>
                <w:b/>
                <w:lang w:val="pl-PL"/>
              </w:rPr>
              <w:t>P</w:t>
            </w:r>
            <w:r>
              <w:rPr>
                <w:b/>
                <w:lang w:val="pl-PL"/>
              </w:rPr>
              <w:t>artnerstwa</w:t>
            </w:r>
            <w:r w:rsidRPr="00327417">
              <w:rPr>
                <w:b/>
                <w:lang w:val="pl-PL"/>
              </w:rPr>
              <w:t xml:space="preserve"> </w:t>
            </w:r>
            <w:r w:rsidRPr="00327417">
              <w:rPr>
                <w:lang w:val="pl-PL"/>
              </w:rPr>
              <w:t xml:space="preserve">- zwiększenie wykorzystania </w:t>
            </w:r>
            <w:r>
              <w:rPr>
                <w:lang w:val="pl-PL"/>
              </w:rPr>
              <w:t>technologii cyfrowych</w:t>
            </w:r>
            <w:r w:rsidRPr="00327417">
              <w:rPr>
                <w:lang w:val="pl-PL"/>
              </w:rPr>
              <w:t xml:space="preserve"> w gospodarce i usługach świadczonych przez samorządy na rzecz przedsiębiorców (czas i benzyna kosztują).</w:t>
            </w:r>
            <w:r w:rsidRPr="00327417">
              <w:rPr>
                <w:b/>
                <w:lang w:val="pl-PL"/>
              </w:rPr>
              <w:t xml:space="preserve"> </w:t>
            </w:r>
          </w:p>
        </w:tc>
        <w:tc>
          <w:tcPr>
            <w:tcW w:w="4654" w:type="dxa"/>
          </w:tcPr>
          <w:p w14:paraId="5A1CFFE9" w14:textId="77777777" w:rsidR="002E6783" w:rsidRPr="002D1806" w:rsidRDefault="002E6783" w:rsidP="00535163">
            <w:pPr>
              <w:rPr>
                <w:lang w:val="pl-PL"/>
              </w:rPr>
            </w:pPr>
          </w:p>
        </w:tc>
      </w:tr>
      <w:tr w:rsidR="002E6783" w:rsidRPr="00D53067" w14:paraId="5A1CFFEF" w14:textId="77777777" w:rsidTr="00535163">
        <w:tc>
          <w:tcPr>
            <w:tcW w:w="1524" w:type="dxa"/>
            <w:vMerge w:val="restart"/>
            <w:shd w:val="clear" w:color="auto" w:fill="F2DBDB" w:themeFill="accent2" w:themeFillTint="33"/>
          </w:tcPr>
          <w:p w14:paraId="5A1CFFEB" w14:textId="77777777" w:rsidR="002E6783" w:rsidRPr="00B04A65" w:rsidRDefault="002E6783" w:rsidP="00535163">
            <w:pPr>
              <w:rPr>
                <w:b/>
              </w:rPr>
            </w:pPr>
            <w:proofErr w:type="spellStart"/>
            <w:r>
              <w:rPr>
                <w:b/>
              </w:rPr>
              <w:t>Demografia</w:t>
            </w:r>
            <w:proofErr w:type="spellEnd"/>
          </w:p>
          <w:p w14:paraId="5A1CFFEC" w14:textId="77777777" w:rsidR="002E6783" w:rsidRPr="00B04A65" w:rsidRDefault="002E6783" w:rsidP="00535163">
            <w:pPr>
              <w:rPr>
                <w:b/>
              </w:rPr>
            </w:pPr>
          </w:p>
        </w:tc>
        <w:tc>
          <w:tcPr>
            <w:tcW w:w="3110" w:type="dxa"/>
          </w:tcPr>
          <w:p w14:paraId="5A1CFFED" w14:textId="77777777" w:rsidR="002E6783" w:rsidRPr="00FB62BA" w:rsidRDefault="002E6783" w:rsidP="00535163">
            <w:pPr>
              <w:rPr>
                <w:lang w:val="pl-PL"/>
              </w:rPr>
            </w:pPr>
            <w:r>
              <w:rPr>
                <w:rStyle w:val="normaltextrun"/>
                <w:b/>
                <w:iCs/>
                <w:szCs w:val="24"/>
                <w:shd w:val="clear" w:color="auto" w:fill="FFFFFF"/>
                <w:lang w:val="pl-PL"/>
              </w:rPr>
              <w:t>Młodzież w centrum uwagi</w:t>
            </w:r>
            <w:r w:rsidRPr="00FB62BA">
              <w:rPr>
                <w:rStyle w:val="normaltextrun"/>
                <w:rFonts w:ascii="Calibri" w:hAnsi="Calibri"/>
                <w:b/>
                <w:szCs w:val="24"/>
                <w:shd w:val="clear" w:color="auto" w:fill="FFFFFF"/>
                <w:lang w:val="pl-PL"/>
              </w:rPr>
              <w:t> -</w:t>
            </w:r>
            <w:r w:rsidRPr="00FB62BA">
              <w:rPr>
                <w:rStyle w:val="normaltextrun"/>
                <w:rFonts w:ascii="Calibri" w:hAnsi="Calibri"/>
                <w:szCs w:val="24"/>
                <w:shd w:val="clear" w:color="auto" w:fill="FFFFFF"/>
                <w:lang w:val="pl-PL"/>
              </w:rPr>
              <w:t xml:space="preserve"> </w:t>
            </w:r>
            <w:r w:rsidRPr="00C26723">
              <w:rPr>
                <w:rStyle w:val="normaltextrun"/>
                <w:rFonts w:ascii="Calibri" w:hAnsi="Calibri"/>
                <w:szCs w:val="24"/>
                <w:shd w:val="clear" w:color="auto" w:fill="FFFFFF"/>
                <w:lang w:val="pl-PL"/>
              </w:rPr>
              <w:t xml:space="preserve">zwiększenie </w:t>
            </w:r>
            <w:r>
              <w:rPr>
                <w:rStyle w:val="normaltextrun"/>
                <w:rFonts w:ascii="Calibri" w:hAnsi="Calibri"/>
                <w:szCs w:val="24"/>
                <w:shd w:val="clear" w:color="auto" w:fill="FFFFFF"/>
                <w:lang w:val="pl-PL"/>
              </w:rPr>
              <w:t xml:space="preserve">u młodzieży </w:t>
            </w:r>
            <w:r>
              <w:rPr>
                <w:rStyle w:val="normaltextrun"/>
                <w:szCs w:val="24"/>
                <w:shd w:val="clear" w:color="auto" w:fill="FFFFFF"/>
                <w:lang w:val="pl-PL"/>
              </w:rPr>
              <w:t>jej</w:t>
            </w:r>
            <w:r w:rsidRPr="00C26723">
              <w:rPr>
                <w:rStyle w:val="normaltextrun"/>
                <w:szCs w:val="24"/>
                <w:shd w:val="clear" w:color="auto" w:fill="FFFFFF"/>
                <w:lang w:val="pl-PL"/>
              </w:rPr>
              <w:t xml:space="preserve"> </w:t>
            </w:r>
            <w:r w:rsidRPr="00C26723">
              <w:rPr>
                <w:rStyle w:val="normaltextrun"/>
                <w:rFonts w:ascii="Calibri" w:hAnsi="Calibri"/>
                <w:szCs w:val="24"/>
                <w:shd w:val="clear" w:color="auto" w:fill="FFFFFF"/>
                <w:lang w:val="pl-PL"/>
              </w:rPr>
              <w:lastRenderedPageBreak/>
              <w:t>poczucia wpływu na własny los i otoczenie</w:t>
            </w:r>
          </w:p>
        </w:tc>
        <w:tc>
          <w:tcPr>
            <w:tcW w:w="4654" w:type="dxa"/>
          </w:tcPr>
          <w:p w14:paraId="5A1CFFEE" w14:textId="77777777" w:rsidR="002E6783" w:rsidRPr="00FB62BA" w:rsidRDefault="002E6783" w:rsidP="00535163">
            <w:pPr>
              <w:contextualSpacing/>
              <w:rPr>
                <w:lang w:val="pl-PL"/>
              </w:rPr>
            </w:pPr>
          </w:p>
        </w:tc>
      </w:tr>
      <w:tr w:rsidR="002E6783" w:rsidRPr="00D53067" w14:paraId="5A1CFFF3" w14:textId="77777777" w:rsidTr="00535163">
        <w:tc>
          <w:tcPr>
            <w:tcW w:w="1524" w:type="dxa"/>
            <w:vMerge/>
            <w:shd w:val="clear" w:color="auto" w:fill="F2DBDB" w:themeFill="accent2" w:themeFillTint="33"/>
          </w:tcPr>
          <w:p w14:paraId="5A1CFFF0" w14:textId="77777777" w:rsidR="002E6783" w:rsidRPr="00B04A65" w:rsidRDefault="002E6783" w:rsidP="00535163">
            <w:pPr>
              <w:rPr>
                <w:b/>
                <w:lang w:val="pl-PL"/>
              </w:rPr>
            </w:pPr>
          </w:p>
        </w:tc>
        <w:tc>
          <w:tcPr>
            <w:tcW w:w="3110" w:type="dxa"/>
          </w:tcPr>
          <w:p w14:paraId="5A1CFFF1" w14:textId="77777777" w:rsidR="002E6783" w:rsidRPr="002D1806" w:rsidRDefault="002E6783" w:rsidP="00535163">
            <w:pPr>
              <w:rPr>
                <w:lang w:val="pl-PL"/>
              </w:rPr>
            </w:pPr>
            <w:r w:rsidRPr="004F205F">
              <w:rPr>
                <w:rStyle w:val="normaltextrun"/>
                <w:b/>
                <w:iCs/>
                <w:szCs w:val="24"/>
                <w:shd w:val="clear" w:color="auto" w:fill="FFFFFF"/>
                <w:lang w:val="pl-PL"/>
              </w:rPr>
              <w:t>Rozwijanie poczucia tożsamości młodych ludzi z obszarem</w:t>
            </w:r>
            <w:r w:rsidRPr="004F205F">
              <w:rPr>
                <w:rStyle w:val="normaltextrun"/>
                <w:iCs/>
                <w:szCs w:val="24"/>
                <w:shd w:val="clear" w:color="auto" w:fill="FFFFFF"/>
                <w:lang w:val="pl-PL"/>
              </w:rPr>
              <w:t xml:space="preserve"> </w:t>
            </w:r>
            <w:r>
              <w:rPr>
                <w:rStyle w:val="normaltextrun"/>
                <w:iCs/>
                <w:szCs w:val="24"/>
                <w:shd w:val="clear" w:color="auto" w:fill="FFFFFF"/>
                <w:lang w:val="pl-PL"/>
              </w:rPr>
              <w:t xml:space="preserve">– w oparciu o dziedzictwo historyczne i kulturowe obszaru (m.in., tradycje szlachty zagrodowej) z wykorzystaniem z wykorzystaniem potencjału Skansenu i Muzeum Rolnictwa w Ciechanowcu, dziedzictwo przyrodnicze, integrację międzypokoleniową i inne </w:t>
            </w:r>
          </w:p>
        </w:tc>
        <w:tc>
          <w:tcPr>
            <w:tcW w:w="4654" w:type="dxa"/>
          </w:tcPr>
          <w:p w14:paraId="5A1CFFF2" w14:textId="77777777" w:rsidR="002E6783" w:rsidRPr="002D1806" w:rsidRDefault="002E6783" w:rsidP="00535163">
            <w:pPr>
              <w:rPr>
                <w:lang w:val="pl-PL"/>
              </w:rPr>
            </w:pPr>
          </w:p>
        </w:tc>
      </w:tr>
      <w:tr w:rsidR="002E6783" w:rsidRPr="00D53067" w14:paraId="5A1CFFF7" w14:textId="77777777" w:rsidTr="00535163">
        <w:tc>
          <w:tcPr>
            <w:tcW w:w="1524" w:type="dxa"/>
            <w:vMerge/>
            <w:shd w:val="clear" w:color="auto" w:fill="F2DBDB" w:themeFill="accent2" w:themeFillTint="33"/>
          </w:tcPr>
          <w:p w14:paraId="5A1CFFF4" w14:textId="77777777" w:rsidR="002E6783" w:rsidRPr="00B04A65" w:rsidRDefault="002E6783" w:rsidP="00535163">
            <w:pPr>
              <w:rPr>
                <w:b/>
                <w:lang w:val="pl-PL"/>
              </w:rPr>
            </w:pPr>
          </w:p>
        </w:tc>
        <w:tc>
          <w:tcPr>
            <w:tcW w:w="3110" w:type="dxa"/>
          </w:tcPr>
          <w:p w14:paraId="5A1CFFF5" w14:textId="77777777" w:rsidR="002E6783" w:rsidRPr="002D1806" w:rsidRDefault="002E6783" w:rsidP="00535163">
            <w:pPr>
              <w:rPr>
                <w:lang w:val="pl-PL"/>
              </w:rPr>
            </w:pPr>
            <w:r w:rsidRPr="004F205F">
              <w:rPr>
                <w:rStyle w:val="normaltextrun"/>
                <w:b/>
                <w:szCs w:val="24"/>
                <w:shd w:val="clear" w:color="auto" w:fill="FFFFFF"/>
                <w:lang w:val="pl-PL"/>
              </w:rPr>
              <w:t>Kreatywne zagospodarowanie wolnego czasu młodych ludzi</w:t>
            </w:r>
            <w:r w:rsidRPr="004F205F">
              <w:rPr>
                <w:rStyle w:val="normaltextrun"/>
                <w:szCs w:val="24"/>
                <w:shd w:val="clear" w:color="auto" w:fill="FFFFFF"/>
                <w:lang w:val="pl-PL"/>
              </w:rPr>
              <w:t xml:space="preserve"> </w:t>
            </w:r>
            <w:r>
              <w:rPr>
                <w:rStyle w:val="normaltextrun"/>
                <w:szCs w:val="24"/>
                <w:shd w:val="clear" w:color="auto" w:fill="FFFFFF"/>
                <w:lang w:val="pl-PL"/>
              </w:rPr>
              <w:t>– z wykorzystaniem sieci animatorów (w tym seniorów)</w:t>
            </w:r>
          </w:p>
        </w:tc>
        <w:tc>
          <w:tcPr>
            <w:tcW w:w="4654" w:type="dxa"/>
          </w:tcPr>
          <w:p w14:paraId="5A1CFFF6" w14:textId="77777777" w:rsidR="002E6783" w:rsidRPr="002D1806" w:rsidRDefault="002E6783" w:rsidP="00535163">
            <w:pPr>
              <w:rPr>
                <w:lang w:val="pl-PL"/>
              </w:rPr>
            </w:pPr>
          </w:p>
        </w:tc>
      </w:tr>
      <w:tr w:rsidR="002E6783" w:rsidRPr="00D53067" w14:paraId="5A1CFFFC" w14:textId="77777777" w:rsidTr="00535163">
        <w:tc>
          <w:tcPr>
            <w:tcW w:w="1524" w:type="dxa"/>
            <w:vMerge/>
            <w:shd w:val="clear" w:color="auto" w:fill="F2DBDB" w:themeFill="accent2" w:themeFillTint="33"/>
          </w:tcPr>
          <w:p w14:paraId="5A1CFFF8" w14:textId="77777777" w:rsidR="002E6783" w:rsidRPr="00B04A65" w:rsidRDefault="002E6783" w:rsidP="00535163">
            <w:pPr>
              <w:rPr>
                <w:b/>
                <w:lang w:val="pl-PL"/>
              </w:rPr>
            </w:pPr>
          </w:p>
        </w:tc>
        <w:tc>
          <w:tcPr>
            <w:tcW w:w="3110" w:type="dxa"/>
          </w:tcPr>
          <w:p w14:paraId="5A1CFFF9" w14:textId="77777777" w:rsidR="002E6783" w:rsidRDefault="002E6783" w:rsidP="00535163">
            <w:pPr>
              <w:rPr>
                <w:szCs w:val="24"/>
                <w:shd w:val="clear" w:color="auto" w:fill="FFFFFF"/>
                <w:lang w:val="pl-PL"/>
              </w:rPr>
            </w:pPr>
            <w:r>
              <w:rPr>
                <w:b/>
                <w:lang w:val="pl-PL"/>
              </w:rPr>
              <w:t>Świadoma p</w:t>
            </w:r>
            <w:r w:rsidRPr="00572CCD">
              <w:rPr>
                <w:b/>
                <w:lang w:val="pl-PL"/>
              </w:rPr>
              <w:t>olityka osiedleńcza</w:t>
            </w:r>
            <w:r>
              <w:rPr>
                <w:b/>
                <w:lang w:val="pl-PL"/>
              </w:rPr>
              <w:t xml:space="preserve"> </w:t>
            </w:r>
            <w:r w:rsidRPr="00AD1CD3">
              <w:rPr>
                <w:lang w:val="pl-PL"/>
              </w:rPr>
              <w:t xml:space="preserve">- </w:t>
            </w:r>
            <w:r>
              <w:rPr>
                <w:rStyle w:val="normaltextrun"/>
                <w:szCs w:val="24"/>
                <w:shd w:val="clear" w:color="auto" w:fill="FFFFFF"/>
                <w:lang w:val="pl-PL"/>
              </w:rPr>
              <w:t>w</w:t>
            </w:r>
            <w:r w:rsidRPr="00AD1CD3">
              <w:rPr>
                <w:rStyle w:val="normaltextrun"/>
                <w:szCs w:val="24"/>
                <w:shd w:val="clear" w:color="auto" w:fill="FFFFFF"/>
                <w:lang w:val="pl-PL"/>
              </w:rPr>
              <w:t>sparcie dla realizacji potrzeb mieszkaniowych młodych ludzi</w:t>
            </w:r>
            <w:r>
              <w:rPr>
                <w:rStyle w:val="normaltextrun"/>
                <w:szCs w:val="24"/>
                <w:shd w:val="clear" w:color="auto" w:fill="FFFFFF"/>
                <w:lang w:val="pl-PL"/>
              </w:rPr>
              <w:t xml:space="preserve">, </w:t>
            </w:r>
            <w:r w:rsidRPr="00AD1CD3">
              <w:rPr>
                <w:rStyle w:val="normaltextrun"/>
                <w:szCs w:val="24"/>
                <w:shd w:val="clear" w:color="auto" w:fill="FFFFFF"/>
                <w:lang w:val="pl-PL"/>
              </w:rPr>
              <w:t>poszerzenie oferty atrakcyjnej pracy dla młodych mieszkańców,</w:t>
            </w:r>
            <w:r>
              <w:rPr>
                <w:rStyle w:val="normaltextrun"/>
                <w:b/>
                <w:szCs w:val="24"/>
                <w:shd w:val="clear" w:color="auto" w:fill="FFFFFF"/>
                <w:lang w:val="pl-PL"/>
              </w:rPr>
              <w:t xml:space="preserve"> s</w:t>
            </w:r>
            <w:r w:rsidRPr="007877A7">
              <w:rPr>
                <w:szCs w:val="24"/>
                <w:shd w:val="clear" w:color="auto" w:fill="FFFFFF"/>
                <w:lang w:val="pl-PL"/>
              </w:rPr>
              <w:t>ystem zachęt dla nowych i powracających mieszkańców, w tym/w szczególności absolwentów szkół średnich i wyższych</w:t>
            </w:r>
            <w:r>
              <w:rPr>
                <w:szCs w:val="24"/>
                <w:shd w:val="clear" w:color="auto" w:fill="FFFFFF"/>
                <w:lang w:val="pl-PL"/>
              </w:rPr>
              <w:t>, o</w:t>
            </w:r>
            <w:r w:rsidRPr="007877A7">
              <w:rPr>
                <w:szCs w:val="24"/>
                <w:shd w:val="clear" w:color="auto" w:fill="FFFFFF"/>
                <w:lang w:val="pl-PL"/>
              </w:rPr>
              <w:t xml:space="preserve">ferta osiedleńcza dla repatriantów </w:t>
            </w:r>
            <w:r>
              <w:rPr>
                <w:szCs w:val="24"/>
                <w:shd w:val="clear" w:color="auto" w:fill="FFFFFF"/>
                <w:lang w:val="pl-PL"/>
              </w:rPr>
              <w:t>,</w:t>
            </w:r>
          </w:p>
          <w:p w14:paraId="5A1CFFFA" w14:textId="77777777" w:rsidR="002E6783" w:rsidRPr="00572CCD" w:rsidRDefault="002E6783" w:rsidP="00535163">
            <w:pPr>
              <w:rPr>
                <w:b/>
                <w:lang w:val="pl-PL"/>
              </w:rPr>
            </w:pPr>
            <w:r>
              <w:rPr>
                <w:szCs w:val="24"/>
                <w:shd w:val="clear" w:color="auto" w:fill="FFFFFF"/>
                <w:lang w:val="pl-PL"/>
              </w:rPr>
              <w:t>s</w:t>
            </w:r>
            <w:r w:rsidRPr="007877A7">
              <w:rPr>
                <w:szCs w:val="24"/>
                <w:shd w:val="clear" w:color="auto" w:fill="FFFFFF"/>
                <w:lang w:val="pl-PL"/>
              </w:rPr>
              <w:t>ystem zachęt osadniczych dla rodzin pracowników z Ukrainy</w:t>
            </w:r>
          </w:p>
        </w:tc>
        <w:tc>
          <w:tcPr>
            <w:tcW w:w="4654" w:type="dxa"/>
          </w:tcPr>
          <w:p w14:paraId="5A1CFFFB" w14:textId="77777777" w:rsidR="002E6783" w:rsidRPr="002D1806" w:rsidRDefault="002E6783" w:rsidP="00535163">
            <w:pPr>
              <w:rPr>
                <w:lang w:val="pl-PL"/>
              </w:rPr>
            </w:pPr>
          </w:p>
        </w:tc>
      </w:tr>
      <w:tr w:rsidR="002E6783" w:rsidRPr="00D53067" w14:paraId="5A1D0000" w14:textId="77777777" w:rsidTr="00535163">
        <w:tc>
          <w:tcPr>
            <w:tcW w:w="1524" w:type="dxa"/>
            <w:vMerge w:val="restart"/>
            <w:shd w:val="clear" w:color="auto" w:fill="F2DBDB" w:themeFill="accent2" w:themeFillTint="33"/>
          </w:tcPr>
          <w:p w14:paraId="5A1CFFFD" w14:textId="77777777" w:rsidR="002E6783" w:rsidRPr="00B04A65" w:rsidRDefault="002E6783" w:rsidP="00535163">
            <w:pPr>
              <w:tabs>
                <w:tab w:val="left" w:pos="4664"/>
                <w:tab w:val="left" w:pos="9329"/>
              </w:tabs>
              <w:rPr>
                <w:b/>
                <w:lang w:val="pl-PL"/>
              </w:rPr>
            </w:pPr>
            <w:r>
              <w:rPr>
                <w:b/>
                <w:szCs w:val="24"/>
                <w:lang w:val="pl-PL"/>
              </w:rPr>
              <w:t>Środowisko</w:t>
            </w:r>
          </w:p>
        </w:tc>
        <w:tc>
          <w:tcPr>
            <w:tcW w:w="3110" w:type="dxa"/>
          </w:tcPr>
          <w:p w14:paraId="5A1CFFFE" w14:textId="77777777" w:rsidR="002E6783" w:rsidRPr="00B04A65" w:rsidRDefault="002E6783" w:rsidP="00535163">
            <w:pPr>
              <w:rPr>
                <w:lang w:val="pl-PL"/>
              </w:rPr>
            </w:pPr>
            <w:r w:rsidRPr="00B04A65">
              <w:rPr>
                <w:b/>
                <w:lang w:val="pl-PL"/>
              </w:rPr>
              <w:t>Planowanie przestrzenne chroniące nieodnawialne/ wolno/trudno odnawialne zasoby</w:t>
            </w:r>
            <w:r>
              <w:rPr>
                <w:lang w:val="pl-PL"/>
              </w:rPr>
              <w:t xml:space="preserve">: </w:t>
            </w:r>
            <w:r w:rsidRPr="00B04A65">
              <w:rPr>
                <w:lang w:val="pl-PL"/>
              </w:rPr>
              <w:t xml:space="preserve">krajobraz, przyrodę, przestrzeń publiczną, materialne dziedzictwo kulturowe </w:t>
            </w:r>
          </w:p>
        </w:tc>
        <w:tc>
          <w:tcPr>
            <w:tcW w:w="4654" w:type="dxa"/>
          </w:tcPr>
          <w:p w14:paraId="5A1CFFFF" w14:textId="77777777" w:rsidR="002E6783" w:rsidRPr="002D1806" w:rsidRDefault="002E6783" w:rsidP="00535163">
            <w:pPr>
              <w:pStyle w:val="Standard"/>
              <w:spacing w:line="240" w:lineRule="auto"/>
            </w:pPr>
          </w:p>
        </w:tc>
      </w:tr>
      <w:tr w:rsidR="002E6783" w:rsidRPr="00D53067" w14:paraId="5A1D0004" w14:textId="77777777" w:rsidTr="00535163">
        <w:tc>
          <w:tcPr>
            <w:tcW w:w="1524" w:type="dxa"/>
            <w:vMerge/>
            <w:shd w:val="clear" w:color="auto" w:fill="F2DBDB" w:themeFill="accent2" w:themeFillTint="33"/>
          </w:tcPr>
          <w:p w14:paraId="5A1D0001" w14:textId="77777777" w:rsidR="002E6783" w:rsidRPr="00B04A65" w:rsidRDefault="002E6783" w:rsidP="00535163">
            <w:pPr>
              <w:tabs>
                <w:tab w:val="left" w:pos="4664"/>
                <w:tab w:val="left" w:pos="9329"/>
              </w:tabs>
              <w:rPr>
                <w:b/>
                <w:color w:val="00B050"/>
                <w:szCs w:val="24"/>
                <w:lang w:val="pl-PL"/>
              </w:rPr>
            </w:pPr>
          </w:p>
        </w:tc>
        <w:tc>
          <w:tcPr>
            <w:tcW w:w="3110" w:type="dxa"/>
          </w:tcPr>
          <w:p w14:paraId="5A1D0002" w14:textId="77777777" w:rsidR="002E6783" w:rsidRPr="00B04A65" w:rsidRDefault="002E6783" w:rsidP="0053516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Inwestycje proekologiczne: </w:t>
            </w:r>
            <w:r>
              <w:rPr>
                <w:lang w:val="pl-PL"/>
              </w:rPr>
              <w:t>odnawialne źródła energii</w:t>
            </w:r>
            <w:r w:rsidRPr="001A7B58">
              <w:rPr>
                <w:lang w:val="pl-PL"/>
              </w:rPr>
              <w:t>, gospodarka wodno-ściekowa, gospodarka odpadami, ochrona bioróżnorodności, zasobów wodnych itp.</w:t>
            </w:r>
          </w:p>
        </w:tc>
        <w:tc>
          <w:tcPr>
            <w:tcW w:w="4654" w:type="dxa"/>
          </w:tcPr>
          <w:p w14:paraId="5A1D0003" w14:textId="77777777" w:rsidR="002E6783" w:rsidRPr="002D1806" w:rsidRDefault="002E6783" w:rsidP="00535163">
            <w:pPr>
              <w:pStyle w:val="Standard"/>
              <w:spacing w:after="0" w:line="240" w:lineRule="auto"/>
            </w:pPr>
          </w:p>
        </w:tc>
      </w:tr>
      <w:tr w:rsidR="002E6783" w:rsidRPr="00D53067" w14:paraId="5A1D0008" w14:textId="77777777" w:rsidTr="00535163">
        <w:tc>
          <w:tcPr>
            <w:tcW w:w="1524" w:type="dxa"/>
            <w:vMerge/>
            <w:shd w:val="clear" w:color="auto" w:fill="F2DBDB" w:themeFill="accent2" w:themeFillTint="33"/>
          </w:tcPr>
          <w:p w14:paraId="5A1D0005" w14:textId="77777777" w:rsidR="002E6783" w:rsidRPr="00B04A65" w:rsidRDefault="002E6783" w:rsidP="00535163">
            <w:pPr>
              <w:tabs>
                <w:tab w:val="left" w:pos="4664"/>
                <w:tab w:val="left" w:pos="9329"/>
              </w:tabs>
              <w:rPr>
                <w:b/>
                <w:color w:val="00B050"/>
                <w:szCs w:val="24"/>
                <w:lang w:val="pl-PL"/>
              </w:rPr>
            </w:pPr>
          </w:p>
        </w:tc>
        <w:tc>
          <w:tcPr>
            <w:tcW w:w="3110" w:type="dxa"/>
          </w:tcPr>
          <w:p w14:paraId="5A1D0006" w14:textId="77777777" w:rsidR="002E6783" w:rsidRDefault="002E6783" w:rsidP="00535163">
            <w:pPr>
              <w:rPr>
                <w:b/>
                <w:lang w:val="pl-PL"/>
              </w:rPr>
            </w:pPr>
            <w:r w:rsidRPr="00327417">
              <w:rPr>
                <w:b/>
                <w:lang w:val="pl-PL"/>
              </w:rPr>
              <w:t xml:space="preserve">Wdrożenie </w:t>
            </w:r>
            <w:r>
              <w:rPr>
                <w:b/>
                <w:lang w:val="pl-PL"/>
              </w:rPr>
              <w:t>modelu gospodarki cyrkularnej (gospodarki o</w:t>
            </w:r>
            <w:r w:rsidRPr="00327417">
              <w:rPr>
                <w:b/>
                <w:lang w:val="pl-PL"/>
              </w:rPr>
              <w:t xml:space="preserve">biegu </w:t>
            </w:r>
            <w:r>
              <w:rPr>
                <w:b/>
                <w:lang w:val="pl-PL"/>
              </w:rPr>
              <w:t>z</w:t>
            </w:r>
            <w:r w:rsidRPr="00327417">
              <w:rPr>
                <w:b/>
                <w:lang w:val="pl-PL"/>
              </w:rPr>
              <w:t xml:space="preserve">amkniętego) </w:t>
            </w:r>
            <w:r w:rsidRPr="00327417">
              <w:rPr>
                <w:lang w:val="pl-PL"/>
              </w:rPr>
              <w:t xml:space="preserve">- jako sposobu na ograniczenie objętości odpadów, w tym z rolnictwa </w:t>
            </w:r>
            <w:r w:rsidRPr="00327417">
              <w:rPr>
                <w:lang w:val="pl-PL"/>
              </w:rPr>
              <w:lastRenderedPageBreak/>
              <w:t>oraz lepsze gospodarowanie innymi zasobami (np. wodą)</w:t>
            </w:r>
          </w:p>
        </w:tc>
        <w:tc>
          <w:tcPr>
            <w:tcW w:w="4654" w:type="dxa"/>
          </w:tcPr>
          <w:p w14:paraId="5A1D0007" w14:textId="77777777" w:rsidR="002E6783" w:rsidRPr="002E6783" w:rsidRDefault="002E6783" w:rsidP="00535163">
            <w:pPr>
              <w:rPr>
                <w:lang w:val="pl-PL"/>
              </w:rPr>
            </w:pPr>
          </w:p>
        </w:tc>
      </w:tr>
      <w:tr w:rsidR="002E6783" w:rsidRPr="00D53067" w14:paraId="5A1D000C" w14:textId="77777777" w:rsidTr="00535163">
        <w:tc>
          <w:tcPr>
            <w:tcW w:w="1524" w:type="dxa"/>
            <w:vMerge/>
            <w:shd w:val="clear" w:color="auto" w:fill="F2DBDB" w:themeFill="accent2" w:themeFillTint="33"/>
          </w:tcPr>
          <w:p w14:paraId="5A1D0009" w14:textId="77777777" w:rsidR="002E6783" w:rsidRPr="00B04A65" w:rsidRDefault="002E6783" w:rsidP="00535163">
            <w:pPr>
              <w:tabs>
                <w:tab w:val="left" w:pos="4664"/>
                <w:tab w:val="left" w:pos="9329"/>
              </w:tabs>
              <w:rPr>
                <w:b/>
                <w:color w:val="00B050"/>
                <w:szCs w:val="24"/>
                <w:lang w:val="pl-PL"/>
              </w:rPr>
            </w:pPr>
          </w:p>
        </w:tc>
        <w:tc>
          <w:tcPr>
            <w:tcW w:w="3110" w:type="dxa"/>
          </w:tcPr>
          <w:p w14:paraId="5A1D000A" w14:textId="77777777" w:rsidR="002E6783" w:rsidRPr="00090A0B" w:rsidRDefault="002E6783" w:rsidP="00535163">
            <w:pPr>
              <w:rPr>
                <w:lang w:val="pl-PL"/>
              </w:rPr>
            </w:pPr>
            <w:r w:rsidRPr="00B04A65">
              <w:rPr>
                <w:b/>
                <w:lang w:val="pl-PL"/>
              </w:rPr>
              <w:t>Ekologia się opłaca</w:t>
            </w:r>
            <w:r w:rsidRPr="00090A0B">
              <w:rPr>
                <w:lang w:val="pl-PL"/>
              </w:rPr>
              <w:t xml:space="preserve"> – </w:t>
            </w:r>
            <w:r>
              <w:rPr>
                <w:lang w:val="pl-PL"/>
              </w:rPr>
              <w:t>edukacja społeczności lokalnej na rzecz świadomości</w:t>
            </w:r>
            <w:r w:rsidRPr="00090A0B">
              <w:rPr>
                <w:lang w:val="pl-PL"/>
              </w:rPr>
              <w:t xml:space="preserve"> i lepsze</w:t>
            </w:r>
            <w:r>
              <w:rPr>
                <w:lang w:val="pl-PL"/>
              </w:rPr>
              <w:t>go wykorzystania</w:t>
            </w:r>
            <w:r w:rsidRPr="00090A0B">
              <w:rPr>
                <w:lang w:val="pl-PL"/>
              </w:rPr>
              <w:t xml:space="preserve"> </w:t>
            </w:r>
            <w:r>
              <w:rPr>
                <w:lang w:val="pl-PL"/>
              </w:rPr>
              <w:t>walorów przyrodniczych obszaru</w:t>
            </w:r>
            <w:r w:rsidRPr="00090A0B">
              <w:rPr>
                <w:lang w:val="pl-PL"/>
              </w:rPr>
              <w:t xml:space="preserve"> </w:t>
            </w:r>
          </w:p>
        </w:tc>
        <w:tc>
          <w:tcPr>
            <w:tcW w:w="4654" w:type="dxa"/>
          </w:tcPr>
          <w:p w14:paraId="5A1D000B" w14:textId="77777777" w:rsidR="002E6783" w:rsidRPr="002D1806" w:rsidRDefault="002E6783" w:rsidP="00535163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2E6783" w:rsidRPr="00D53067" w14:paraId="5A1D0011" w14:textId="77777777" w:rsidTr="00535163">
        <w:tc>
          <w:tcPr>
            <w:tcW w:w="1524" w:type="dxa"/>
            <w:vMerge w:val="restart"/>
            <w:shd w:val="clear" w:color="auto" w:fill="F2DBDB" w:themeFill="accent2" w:themeFillTint="33"/>
          </w:tcPr>
          <w:p w14:paraId="5A1D000D" w14:textId="77777777" w:rsidR="002E6783" w:rsidRDefault="002E6783" w:rsidP="00535163">
            <w:pPr>
              <w:rPr>
                <w:b/>
                <w:lang w:val="pl-PL"/>
              </w:rPr>
            </w:pPr>
          </w:p>
          <w:p w14:paraId="5A1D000E" w14:textId="77777777" w:rsidR="002E6783" w:rsidRPr="00B04A65" w:rsidRDefault="002E6783" w:rsidP="0053516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Polityka senioralna</w:t>
            </w:r>
          </w:p>
        </w:tc>
        <w:tc>
          <w:tcPr>
            <w:tcW w:w="3110" w:type="dxa"/>
          </w:tcPr>
          <w:p w14:paraId="5A1D000F" w14:textId="77777777" w:rsidR="002E6783" w:rsidRPr="002D1806" w:rsidRDefault="002E6783" w:rsidP="00535163">
            <w:pPr>
              <w:tabs>
                <w:tab w:val="left" w:pos="4664"/>
                <w:tab w:val="left" w:pos="9329"/>
              </w:tabs>
              <w:rPr>
                <w:lang w:val="pl-PL"/>
              </w:rPr>
            </w:pPr>
            <w:r w:rsidRPr="004F6C7F">
              <w:rPr>
                <w:b/>
                <w:lang w:val="pl-PL"/>
              </w:rPr>
              <w:t>Aktywizacja mieszkańców w wieku poprodukcyjnym na rzecz rozwoju osobistego oraz integracja</w:t>
            </w:r>
            <w:r w:rsidRPr="004F6C7F">
              <w:rPr>
                <w:lang w:val="pl-PL"/>
              </w:rPr>
              <w:t>, w tym integracja tematyczna (grupy zainteresowań) i międzypokoleniowa</w:t>
            </w:r>
          </w:p>
        </w:tc>
        <w:tc>
          <w:tcPr>
            <w:tcW w:w="4654" w:type="dxa"/>
          </w:tcPr>
          <w:p w14:paraId="5A1D0010" w14:textId="77777777" w:rsidR="002E6783" w:rsidRPr="002E6783" w:rsidRDefault="002E6783" w:rsidP="00535163">
            <w:pPr>
              <w:rPr>
                <w:lang w:val="pl-PL"/>
              </w:rPr>
            </w:pPr>
          </w:p>
        </w:tc>
      </w:tr>
      <w:tr w:rsidR="002E6783" w:rsidRPr="00D53067" w14:paraId="5A1D0015" w14:textId="77777777" w:rsidTr="00535163">
        <w:tc>
          <w:tcPr>
            <w:tcW w:w="1524" w:type="dxa"/>
            <w:vMerge/>
            <w:shd w:val="clear" w:color="auto" w:fill="F2DBDB" w:themeFill="accent2" w:themeFillTint="33"/>
          </w:tcPr>
          <w:p w14:paraId="5A1D0012" w14:textId="77777777" w:rsidR="002E6783" w:rsidRDefault="002E6783" w:rsidP="00535163">
            <w:pPr>
              <w:rPr>
                <w:b/>
                <w:lang w:val="pl-PL"/>
              </w:rPr>
            </w:pPr>
          </w:p>
        </w:tc>
        <w:tc>
          <w:tcPr>
            <w:tcW w:w="3110" w:type="dxa"/>
          </w:tcPr>
          <w:p w14:paraId="5A1D0013" w14:textId="77777777" w:rsidR="002E6783" w:rsidRPr="004F6C7F" w:rsidRDefault="002E6783" w:rsidP="00535163">
            <w:pPr>
              <w:tabs>
                <w:tab w:val="left" w:pos="4664"/>
                <w:tab w:val="left" w:pos="9329"/>
              </w:tabs>
              <w:rPr>
                <w:b/>
                <w:lang w:val="pl-PL"/>
              </w:rPr>
            </w:pPr>
            <w:r w:rsidRPr="00F663B1">
              <w:rPr>
                <w:rStyle w:val="normaltextrun"/>
                <w:b/>
                <w:iCs/>
                <w:szCs w:val="24"/>
                <w:shd w:val="clear" w:color="auto" w:fill="FFFFFF"/>
                <w:lang w:val="pl-PL"/>
              </w:rPr>
              <w:t xml:space="preserve">Aktywizacja mieszkańców w wieku poprodukcyjnym na rzecz rozwoju społecznego </w:t>
            </w:r>
            <w:r>
              <w:rPr>
                <w:rStyle w:val="normaltextrun"/>
                <w:b/>
                <w:iCs/>
                <w:szCs w:val="24"/>
                <w:shd w:val="clear" w:color="auto" w:fill="FFFFFF"/>
                <w:lang w:val="pl-PL"/>
              </w:rPr>
              <w:t>obszaru Partnerstwa</w:t>
            </w:r>
          </w:p>
        </w:tc>
        <w:tc>
          <w:tcPr>
            <w:tcW w:w="4654" w:type="dxa"/>
          </w:tcPr>
          <w:p w14:paraId="5A1D0014" w14:textId="77777777" w:rsidR="002E6783" w:rsidRPr="004D51A2" w:rsidRDefault="002E6783" w:rsidP="00535163">
            <w:pPr>
              <w:rPr>
                <w:lang w:val="pl-PL"/>
              </w:rPr>
            </w:pPr>
          </w:p>
        </w:tc>
      </w:tr>
      <w:tr w:rsidR="002E6783" w:rsidRPr="00D53067" w14:paraId="5A1D0019" w14:textId="77777777" w:rsidTr="00535163">
        <w:tc>
          <w:tcPr>
            <w:tcW w:w="1524" w:type="dxa"/>
            <w:vMerge/>
            <w:shd w:val="clear" w:color="auto" w:fill="F2DBDB" w:themeFill="accent2" w:themeFillTint="33"/>
          </w:tcPr>
          <w:p w14:paraId="5A1D0016" w14:textId="77777777" w:rsidR="002E6783" w:rsidRDefault="002E6783" w:rsidP="00535163">
            <w:pPr>
              <w:rPr>
                <w:b/>
                <w:lang w:val="pl-PL"/>
              </w:rPr>
            </w:pPr>
          </w:p>
        </w:tc>
        <w:tc>
          <w:tcPr>
            <w:tcW w:w="3110" w:type="dxa"/>
          </w:tcPr>
          <w:p w14:paraId="5A1D0017" w14:textId="77777777" w:rsidR="002E6783" w:rsidRPr="004F6C7F" w:rsidRDefault="002E6783" w:rsidP="00535163">
            <w:pPr>
              <w:tabs>
                <w:tab w:val="left" w:pos="4664"/>
                <w:tab w:val="left" w:pos="9329"/>
              </w:tabs>
              <w:rPr>
                <w:b/>
                <w:lang w:val="pl-PL"/>
              </w:rPr>
            </w:pPr>
            <w:r w:rsidRPr="00F663B1">
              <w:rPr>
                <w:rStyle w:val="normaltextrun"/>
                <w:b/>
                <w:iCs/>
                <w:szCs w:val="24"/>
                <w:shd w:val="clear" w:color="auto" w:fill="FFFFFF"/>
                <w:lang w:val="pl-PL"/>
              </w:rPr>
              <w:t>„Uspołecznianie” pomocy społecznej</w:t>
            </w:r>
            <w:r w:rsidRPr="00252036">
              <w:rPr>
                <w:rStyle w:val="normaltextrun"/>
                <w:iCs/>
                <w:color w:val="00B050"/>
                <w:szCs w:val="24"/>
                <w:shd w:val="clear" w:color="auto" w:fill="FFFFFF"/>
                <w:lang w:val="pl-PL"/>
              </w:rPr>
              <w:t xml:space="preserve"> </w:t>
            </w:r>
            <w:r w:rsidRPr="00E931D8">
              <w:rPr>
                <w:rStyle w:val="normaltextrun"/>
                <w:iCs/>
                <w:szCs w:val="24"/>
                <w:shd w:val="clear" w:color="auto" w:fill="FFFFFF"/>
                <w:lang w:val="pl-PL"/>
              </w:rPr>
              <w:t>– rozwój „nieakcyjnych” form samopomocy oraz wolontariatu</w:t>
            </w:r>
          </w:p>
        </w:tc>
        <w:tc>
          <w:tcPr>
            <w:tcW w:w="4654" w:type="dxa"/>
          </w:tcPr>
          <w:p w14:paraId="5A1D0018" w14:textId="77777777" w:rsidR="002E6783" w:rsidRPr="004D51A2" w:rsidRDefault="002E6783" w:rsidP="00535163">
            <w:pPr>
              <w:rPr>
                <w:lang w:val="pl-PL"/>
              </w:rPr>
            </w:pPr>
          </w:p>
        </w:tc>
      </w:tr>
      <w:tr w:rsidR="002E6783" w:rsidRPr="00D53067" w14:paraId="5A1D001D" w14:textId="77777777" w:rsidTr="00535163">
        <w:tc>
          <w:tcPr>
            <w:tcW w:w="1524" w:type="dxa"/>
            <w:vMerge/>
            <w:shd w:val="clear" w:color="auto" w:fill="F2DBDB" w:themeFill="accent2" w:themeFillTint="33"/>
          </w:tcPr>
          <w:p w14:paraId="5A1D001A" w14:textId="77777777" w:rsidR="002E6783" w:rsidRDefault="002E6783" w:rsidP="00535163">
            <w:pPr>
              <w:rPr>
                <w:b/>
                <w:lang w:val="pl-PL"/>
              </w:rPr>
            </w:pPr>
          </w:p>
        </w:tc>
        <w:tc>
          <w:tcPr>
            <w:tcW w:w="3110" w:type="dxa"/>
          </w:tcPr>
          <w:p w14:paraId="5A1D001B" w14:textId="77777777" w:rsidR="002E6783" w:rsidRPr="0023471F" w:rsidRDefault="002E6783" w:rsidP="00535163">
            <w:pPr>
              <w:tabs>
                <w:tab w:val="left" w:pos="4664"/>
                <w:tab w:val="left" w:pos="9329"/>
              </w:tabs>
              <w:rPr>
                <w:rStyle w:val="normaltextrun"/>
                <w:b/>
                <w:iCs/>
                <w:szCs w:val="24"/>
                <w:shd w:val="clear" w:color="auto" w:fill="FFFFFF"/>
                <w:lang w:val="pl-PL"/>
              </w:rPr>
            </w:pPr>
            <w:proofErr w:type="spellStart"/>
            <w:r w:rsidRPr="001A7B58">
              <w:rPr>
                <w:rStyle w:val="spellingerror"/>
                <w:rFonts w:ascii="Calibri" w:hAnsi="Calibri"/>
                <w:b/>
                <w:shd w:val="clear" w:color="auto" w:fill="FFFFFF"/>
                <w:lang w:val="pl-PL"/>
              </w:rPr>
              <w:t>Teleopieka</w:t>
            </w:r>
            <w:proofErr w:type="spellEnd"/>
            <w:r w:rsidRPr="001A7B58">
              <w:rPr>
                <w:rStyle w:val="normaltextrun"/>
                <w:rFonts w:ascii="Calibri" w:hAnsi="Calibri"/>
                <w:b/>
                <w:shd w:val="clear" w:color="auto" w:fill="FFFFFF"/>
                <w:lang w:val="pl-PL"/>
              </w:rPr>
              <w:t> dla seniorów</w:t>
            </w:r>
            <w:r w:rsidRPr="001A7B58">
              <w:rPr>
                <w:rStyle w:val="eop"/>
                <w:rFonts w:ascii="Calibri" w:hAnsi="Calibri"/>
                <w:b/>
                <w:shd w:val="clear" w:color="auto" w:fill="FFFFFF"/>
                <w:lang w:val="pl-PL"/>
              </w:rPr>
              <w:t> </w:t>
            </w:r>
            <w:r w:rsidRPr="001A7B58">
              <w:rPr>
                <w:rStyle w:val="eop"/>
                <w:rFonts w:ascii="Calibri" w:hAnsi="Calibri"/>
                <w:shd w:val="clear" w:color="auto" w:fill="FFFFFF"/>
                <w:lang w:val="pl-PL"/>
              </w:rPr>
              <w:t>– stworzenie systemu zdalnej opieki</w:t>
            </w:r>
            <w:r>
              <w:rPr>
                <w:rStyle w:val="eop"/>
                <w:rFonts w:ascii="Calibri" w:hAnsi="Calibri"/>
                <w:shd w:val="clear" w:color="auto" w:fill="FFFFFF"/>
                <w:lang w:val="pl-PL"/>
              </w:rPr>
              <w:t>, w tym zdrowotnej,</w:t>
            </w:r>
            <w:r w:rsidRPr="001A7B58">
              <w:rPr>
                <w:rStyle w:val="eop"/>
                <w:rFonts w:ascii="Calibri" w:hAnsi="Calibri"/>
                <w:shd w:val="clear" w:color="auto" w:fill="FFFFFF"/>
                <w:lang w:val="pl-PL"/>
              </w:rPr>
              <w:t xml:space="preserve"> nad seniorami</w:t>
            </w:r>
          </w:p>
        </w:tc>
        <w:tc>
          <w:tcPr>
            <w:tcW w:w="4654" w:type="dxa"/>
          </w:tcPr>
          <w:p w14:paraId="5A1D001C" w14:textId="77777777" w:rsidR="002E6783" w:rsidRPr="004D51A2" w:rsidRDefault="002E6783" w:rsidP="00535163">
            <w:pPr>
              <w:rPr>
                <w:lang w:val="pl-PL"/>
              </w:rPr>
            </w:pPr>
          </w:p>
        </w:tc>
      </w:tr>
      <w:tr w:rsidR="002E6783" w:rsidRPr="00D53067" w14:paraId="5A1D0022" w14:textId="77777777" w:rsidTr="00535163">
        <w:tc>
          <w:tcPr>
            <w:tcW w:w="1524" w:type="dxa"/>
            <w:vMerge w:val="restart"/>
            <w:shd w:val="clear" w:color="auto" w:fill="F2DBDB" w:themeFill="accent2" w:themeFillTint="33"/>
          </w:tcPr>
          <w:p w14:paraId="5A1D001E" w14:textId="77777777" w:rsidR="002E6783" w:rsidRPr="00B04A65" w:rsidRDefault="002E6783" w:rsidP="0053516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Samorząd lokalny</w:t>
            </w:r>
          </w:p>
        </w:tc>
        <w:tc>
          <w:tcPr>
            <w:tcW w:w="3110" w:type="dxa"/>
          </w:tcPr>
          <w:p w14:paraId="5A1D001F" w14:textId="77777777" w:rsidR="002E6783" w:rsidRPr="002D1806" w:rsidRDefault="002E6783" w:rsidP="00535163">
            <w:pPr>
              <w:tabs>
                <w:tab w:val="left" w:pos="4664"/>
                <w:tab w:val="left" w:pos="9329"/>
              </w:tabs>
              <w:rPr>
                <w:lang w:val="pl-PL"/>
              </w:rPr>
            </w:pPr>
            <w:r w:rsidRPr="00AE3641">
              <w:rPr>
                <w:b/>
                <w:lang w:val="pl-PL"/>
              </w:rPr>
              <w:t>Nowoczesna gospodarka komunalna Partnerstwa</w:t>
            </w:r>
            <w:r w:rsidRPr="00AE3641">
              <w:rPr>
                <w:b/>
                <w:bCs/>
                <w:lang w:val="pl-PL"/>
              </w:rPr>
              <w:t xml:space="preserve"> </w:t>
            </w:r>
            <w:r>
              <w:rPr>
                <w:lang w:val="pl-PL"/>
              </w:rPr>
              <w:t>–</w:t>
            </w:r>
            <w:r w:rsidRPr="00AE3641">
              <w:rPr>
                <w:lang w:val="pl-PL"/>
              </w:rPr>
              <w:t xml:space="preserve"> </w:t>
            </w:r>
            <w:r>
              <w:rPr>
                <w:lang w:val="pl-PL"/>
              </w:rPr>
              <w:t>polityka lokalna sprzyjająca samowystarczalności</w:t>
            </w:r>
            <w:r w:rsidRPr="00AE3641">
              <w:rPr>
                <w:lang w:val="pl-PL"/>
              </w:rPr>
              <w:t xml:space="preserve"> energetyczn</w:t>
            </w:r>
            <w:r>
              <w:rPr>
                <w:lang w:val="pl-PL"/>
              </w:rPr>
              <w:t>ej</w:t>
            </w:r>
            <w:r w:rsidRPr="00AE3641">
              <w:rPr>
                <w:lang w:val="pl-PL"/>
              </w:rPr>
              <w:t xml:space="preserve"> opart</w:t>
            </w:r>
            <w:r>
              <w:rPr>
                <w:lang w:val="pl-PL"/>
              </w:rPr>
              <w:t>ej</w:t>
            </w:r>
            <w:r w:rsidRPr="00AE3641">
              <w:rPr>
                <w:lang w:val="pl-PL"/>
              </w:rPr>
              <w:t xml:space="preserve"> na </w:t>
            </w:r>
            <w:r>
              <w:rPr>
                <w:lang w:val="pl-PL"/>
              </w:rPr>
              <w:t>odnawialnych źródłach energii</w:t>
            </w:r>
            <w:r w:rsidRPr="00AE3641">
              <w:rPr>
                <w:lang w:val="pl-PL"/>
              </w:rPr>
              <w:t>, ograniczenie wydatków samorządów przez wspólne działania (edukacja, kultura, przedsiębiorczość, transport lokalny</w:t>
            </w:r>
            <w:r>
              <w:rPr>
                <w:lang w:val="pl-PL"/>
              </w:rPr>
              <w:t xml:space="preserve"> itd.)</w:t>
            </w:r>
          </w:p>
        </w:tc>
        <w:tc>
          <w:tcPr>
            <w:tcW w:w="4654" w:type="dxa"/>
          </w:tcPr>
          <w:p w14:paraId="5A1D0021" w14:textId="2EE14FC6" w:rsidR="002E6783" w:rsidRPr="002D1806" w:rsidRDefault="002E6783" w:rsidP="00535163">
            <w:pPr>
              <w:pStyle w:val="Standard"/>
              <w:spacing w:line="240" w:lineRule="auto"/>
            </w:pPr>
          </w:p>
        </w:tc>
      </w:tr>
      <w:tr w:rsidR="002E6783" w:rsidRPr="00D53067" w14:paraId="5A1D0026" w14:textId="77777777" w:rsidTr="00535163">
        <w:tc>
          <w:tcPr>
            <w:tcW w:w="1524" w:type="dxa"/>
            <w:vMerge/>
            <w:shd w:val="clear" w:color="auto" w:fill="F2DBDB" w:themeFill="accent2" w:themeFillTint="33"/>
          </w:tcPr>
          <w:p w14:paraId="5A1D0023" w14:textId="77777777" w:rsidR="002E6783" w:rsidRPr="00B04A65" w:rsidRDefault="002E6783" w:rsidP="00535163">
            <w:pPr>
              <w:rPr>
                <w:b/>
                <w:lang w:val="pl-PL"/>
              </w:rPr>
            </w:pPr>
          </w:p>
        </w:tc>
        <w:tc>
          <w:tcPr>
            <w:tcW w:w="3110" w:type="dxa"/>
          </w:tcPr>
          <w:p w14:paraId="5A1D0024" w14:textId="77777777" w:rsidR="002E6783" w:rsidRPr="00AE3641" w:rsidRDefault="002E6783" w:rsidP="00535163">
            <w:pPr>
              <w:tabs>
                <w:tab w:val="left" w:pos="4664"/>
                <w:tab w:val="left" w:pos="9329"/>
              </w:tabs>
              <w:rPr>
                <w:lang w:val="pl-PL"/>
              </w:rPr>
            </w:pPr>
            <w:r>
              <w:rPr>
                <w:b/>
                <w:lang w:val="pl-PL"/>
              </w:rPr>
              <w:t>Aktywizacja społeczności lokalnych</w:t>
            </w:r>
            <w:r>
              <w:rPr>
                <w:lang w:val="pl-PL"/>
              </w:rPr>
              <w:t xml:space="preserve"> na rzecz rozwoju i silniejszego związania ich z miejscem życia</w:t>
            </w:r>
          </w:p>
        </w:tc>
        <w:tc>
          <w:tcPr>
            <w:tcW w:w="4654" w:type="dxa"/>
          </w:tcPr>
          <w:p w14:paraId="5A1D0025" w14:textId="77777777" w:rsidR="002E6783" w:rsidRPr="002D1806" w:rsidRDefault="002E6783" w:rsidP="00535163">
            <w:pPr>
              <w:rPr>
                <w:lang w:val="pl-PL"/>
              </w:rPr>
            </w:pPr>
          </w:p>
        </w:tc>
      </w:tr>
      <w:tr w:rsidR="002E6783" w:rsidRPr="00D53067" w14:paraId="5A1D002A" w14:textId="77777777" w:rsidTr="00535163">
        <w:tc>
          <w:tcPr>
            <w:tcW w:w="1524" w:type="dxa"/>
            <w:vMerge/>
            <w:shd w:val="clear" w:color="auto" w:fill="F2DBDB" w:themeFill="accent2" w:themeFillTint="33"/>
          </w:tcPr>
          <w:p w14:paraId="5A1D0027" w14:textId="77777777" w:rsidR="002E6783" w:rsidRPr="00B04A65" w:rsidRDefault="002E6783" w:rsidP="00535163">
            <w:pPr>
              <w:rPr>
                <w:b/>
                <w:lang w:val="pl-PL"/>
              </w:rPr>
            </w:pPr>
          </w:p>
        </w:tc>
        <w:tc>
          <w:tcPr>
            <w:tcW w:w="3110" w:type="dxa"/>
          </w:tcPr>
          <w:p w14:paraId="5A1D0028" w14:textId="77777777" w:rsidR="002E6783" w:rsidRPr="00AB665B" w:rsidRDefault="002E6783" w:rsidP="00535163">
            <w:pPr>
              <w:tabs>
                <w:tab w:val="left" w:pos="4664"/>
                <w:tab w:val="left" w:pos="9329"/>
              </w:tabs>
              <w:rPr>
                <w:b/>
                <w:lang w:val="pl-PL"/>
              </w:rPr>
            </w:pPr>
            <w:r w:rsidRPr="00AB665B">
              <w:rPr>
                <w:b/>
                <w:lang w:val="pl-PL"/>
              </w:rPr>
              <w:t>Cyfryzacja samorządów lokalnych</w:t>
            </w:r>
            <w:r>
              <w:rPr>
                <w:b/>
                <w:lang w:val="pl-PL"/>
              </w:rPr>
              <w:t xml:space="preserve"> </w:t>
            </w:r>
            <w:r w:rsidRPr="001A7B58">
              <w:rPr>
                <w:lang w:val="pl-PL"/>
              </w:rPr>
              <w:t>-</w:t>
            </w:r>
            <w:r>
              <w:rPr>
                <w:lang w:val="pl-PL"/>
              </w:rPr>
              <w:t xml:space="preserve"> w</w:t>
            </w:r>
            <w:r w:rsidRPr="00AB665B">
              <w:rPr>
                <w:lang w:val="pl-PL"/>
              </w:rPr>
              <w:t>ykorzystanie narzędzi cyfrowych i baz danych</w:t>
            </w:r>
            <w:r w:rsidRPr="00AB665B">
              <w:rPr>
                <w:b/>
                <w:lang w:val="pl-PL"/>
              </w:rPr>
              <w:t xml:space="preserve"> </w:t>
            </w:r>
            <w:r>
              <w:rPr>
                <w:lang w:val="pl-PL"/>
              </w:rPr>
              <w:t xml:space="preserve">funkcjonujących w każdej gminie </w:t>
            </w:r>
            <w:r w:rsidRPr="00AE3641">
              <w:rPr>
                <w:lang w:val="pl-PL"/>
              </w:rPr>
              <w:t>dla sprawnego zarządzania gospodarką komunalną</w:t>
            </w:r>
            <w:r>
              <w:rPr>
                <w:lang w:val="pl-PL"/>
              </w:rPr>
              <w:t xml:space="preserve"> obszaru</w:t>
            </w:r>
          </w:p>
        </w:tc>
        <w:tc>
          <w:tcPr>
            <w:tcW w:w="4654" w:type="dxa"/>
          </w:tcPr>
          <w:p w14:paraId="5A1D0029" w14:textId="77777777" w:rsidR="002E6783" w:rsidRPr="005954DB" w:rsidRDefault="002E6783" w:rsidP="00535163">
            <w:pPr>
              <w:rPr>
                <w:lang w:val="pl-PL"/>
              </w:rPr>
            </w:pPr>
          </w:p>
        </w:tc>
      </w:tr>
    </w:tbl>
    <w:p w14:paraId="77CA3C56" w14:textId="77777777" w:rsidR="00D53067" w:rsidRPr="002D1806" w:rsidRDefault="00D53067" w:rsidP="002E6783">
      <w:pPr>
        <w:rPr>
          <w:lang w:val="pl-PL"/>
        </w:rPr>
      </w:pPr>
    </w:p>
    <w:p w14:paraId="5A1D002C" w14:textId="77777777" w:rsidR="004B473C" w:rsidRPr="004B473C" w:rsidRDefault="004B473C">
      <w:pPr>
        <w:rPr>
          <w:lang w:val="pl-PL"/>
        </w:rPr>
      </w:pPr>
    </w:p>
    <w:sectPr w:rsidR="004B473C" w:rsidRPr="004B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3C"/>
    <w:rsid w:val="00017673"/>
    <w:rsid w:val="0006511A"/>
    <w:rsid w:val="00122D6E"/>
    <w:rsid w:val="00130607"/>
    <w:rsid w:val="002E6783"/>
    <w:rsid w:val="004B473C"/>
    <w:rsid w:val="005308C7"/>
    <w:rsid w:val="0054231A"/>
    <w:rsid w:val="007670A6"/>
    <w:rsid w:val="00796562"/>
    <w:rsid w:val="00C076B2"/>
    <w:rsid w:val="00D010C5"/>
    <w:rsid w:val="00D14588"/>
    <w:rsid w:val="00D31B54"/>
    <w:rsid w:val="00D53067"/>
    <w:rsid w:val="00DD263E"/>
    <w:rsid w:val="00F8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FFBB"/>
  <w15:docId w15:val="{499CA4D0-369C-4597-9657-B89FDC0A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73C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473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0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C076B2"/>
  </w:style>
  <w:style w:type="character" w:customStyle="1" w:styleId="eop">
    <w:name w:val="eop"/>
    <w:basedOn w:val="Domylnaczcionkaakapitu"/>
    <w:rsid w:val="00C076B2"/>
  </w:style>
  <w:style w:type="paragraph" w:customStyle="1" w:styleId="Standard">
    <w:name w:val="Standard"/>
    <w:rsid w:val="00C076B2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paragraph">
    <w:name w:val="paragraph"/>
    <w:basedOn w:val="Normalny"/>
    <w:rsid w:val="002E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ingerror">
    <w:name w:val="spellingerror"/>
    <w:basedOn w:val="Domylnaczcionkaakapitu"/>
    <w:rsid w:val="002E6783"/>
  </w:style>
  <w:style w:type="paragraph" w:styleId="Tekstdymka">
    <w:name w:val="Balloon Text"/>
    <w:basedOn w:val="Normalny"/>
    <w:link w:val="TekstdymkaZnak"/>
    <w:uiPriority w:val="99"/>
    <w:semiHidden/>
    <w:unhideWhenUsed/>
    <w:rsid w:val="0053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8C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pgrodzka</cp:lastModifiedBy>
  <cp:revision>2</cp:revision>
  <cp:lastPrinted>2021-07-08T10:39:00Z</cp:lastPrinted>
  <dcterms:created xsi:type="dcterms:W3CDTF">2021-07-14T10:19:00Z</dcterms:created>
  <dcterms:modified xsi:type="dcterms:W3CDTF">2021-07-14T10:19:00Z</dcterms:modified>
</cp:coreProperties>
</file>